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</w:p>
    <w:p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Приложение 4 </w:t>
      </w:r>
    </w:p>
    <w:p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Оценка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результатов реализации мер правового регулирования </w:t>
      </w:r>
      <w:r>
        <w:rPr>
          <w:rFonts w:ascii="Times New Roman" w:hAnsi="Times New Roman" w:cs="Times New Roman"/>
        </w:rPr>
        <w:br/>
        <w:t>в сфере реализации муниципальной программы «Эффективное управление</w:t>
      </w:r>
    </w:p>
    <w:p>
      <w:pPr>
        <w:pStyle w:val="ConsPlusNormal"/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муниципальными</w:t>
      </w:r>
      <w:proofErr w:type="gramEnd"/>
      <w:r>
        <w:rPr>
          <w:sz w:val="22"/>
          <w:szCs w:val="22"/>
        </w:rPr>
        <w:t xml:space="preserve"> финансами ЗАТО Северск» за 2023 год</w:t>
      </w:r>
    </w:p>
    <w:p>
      <w:pPr>
        <w:pStyle w:val="ConsPlusNormal"/>
        <w:jc w:val="right"/>
        <w:rPr>
          <w:sz w:val="22"/>
          <w:szCs w:val="22"/>
          <w:highlight w:val="yellow"/>
        </w:rPr>
      </w:pPr>
    </w:p>
    <w:tbl>
      <w:tblPr>
        <w:tblW w:w="15169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5103"/>
        <w:gridCol w:w="993"/>
        <w:gridCol w:w="850"/>
        <w:gridCol w:w="5954"/>
      </w:tblGrid>
      <w:t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Наимено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вание</w:t>
            </w:r>
            <w:proofErr w:type="spellEnd"/>
            <w:r>
              <w:rPr>
                <w:sz w:val="22"/>
                <w:szCs w:val="22"/>
              </w:rPr>
              <w:t xml:space="preserve"> меры (бюджетной, налоговой, правовой, иной)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меры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Социально-экономический эффект от применения меры</w:t>
            </w:r>
          </w:p>
        </w:tc>
      </w:tr>
      <w:tr>
        <w:trPr>
          <w:trHeight w:val="50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rPr>
          <w:trHeight w:val="1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>
          <w:trHeight w:val="17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Бюджетная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hyperlink r:id="rId7" w:history="1">
              <w:r>
                <w:rPr>
                  <w:sz w:val="22"/>
                  <w:szCs w:val="22"/>
                </w:rPr>
                <w:t>Постановление</w:t>
              </w:r>
            </w:hyperlink>
            <w:r>
              <w:rPr>
                <w:sz w:val="22"/>
                <w:szCs w:val="22"/>
              </w:rPr>
              <w:t xml:space="preserve"> Администрации ЗАТО Северск                   от 02.11.2015 № 2457 «О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2023*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связи с неисполнением в полном объеме муниципальных заданий бюджетными и автономными учреждениями, подведомственными Управлению образования Администрации ЗАТО </w:t>
            </w:r>
            <w:proofErr w:type="gramStart"/>
            <w:r>
              <w:rPr>
                <w:sz w:val="22"/>
                <w:szCs w:val="22"/>
              </w:rPr>
              <w:t>Северск ,</w:t>
            </w:r>
            <w:proofErr w:type="gramEnd"/>
            <w:r>
              <w:rPr>
                <w:sz w:val="22"/>
                <w:szCs w:val="22"/>
              </w:rPr>
              <w:t xml:space="preserve"> средства  в сумме 1 480,0 тыс. руб. возвращены в бюджет ЗАТО Северск.</w:t>
            </w:r>
          </w:p>
          <w:p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Бюджетная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Обращение Администрации ЗАТО Северск от 24.09.2021 № 01/3605 «Об обращении о передачи отдельных функций финансового органа» по перечислению остатков средств бюджетных и автономных учреждений ЗАТО Северск на единый счет бюджета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Думы ЗАТО Северск от 29.09.2011 № 17/4 «Об утверждении Положения о бюджетном процессе в ЗАТО Северск» (пункты 34 - 36 статьи 8 о бюджетных полномочиях Финансового управления Администрации ЗАТО Северск по привлечению кредитов от имени ЗАТО Северск)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</w:pPr>
          </w:p>
          <w:p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2023*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Администрацией ЗАТО Северск в течение года при исполнении бюджета ЗАТО Северск использовался механизм привлечения свободных средств с лицевых счетов муниципальных бюджетных и автономных учреждений, за счет чего:</w:t>
            </w:r>
          </w:p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досрочно исполнены обязательства по кредитам; расходы по обслуживанию муниципального долга при плане 17 493,77 тыс. руб. исполнены в сумме 12 088,0 тыс. руб. (с учетом законтрактованного остатка** 2 003,3 тыс. руб.), бюджетный эффект составил 3402,47 тыс. руб.;</w:t>
            </w:r>
            <w:bookmarkStart w:id="0" w:name="_GoBack"/>
            <w:bookmarkEnd w:id="0"/>
          </w:p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 исполнении бюджета для покрытия кассовых разрывов кредитные ресурсы не привлекались. Экономический эффект составил 2 442,22 тыс. руб.</w:t>
            </w:r>
          </w:p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сумма экономического эффекта за 2023 год составила 5 844,69 тыс. руб.</w:t>
            </w:r>
          </w:p>
        </w:tc>
      </w:tr>
      <w:tr>
        <w:trPr>
          <w:trHeight w:val="4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rPr>
          <w:trHeight w:val="7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Бюджетная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начальника Финансового управления Администрации ЗАТО Северск от 25.12.2019 № 119        </w:t>
            </w:r>
            <w:proofErr w:type="gramStart"/>
            <w:r>
              <w:rPr>
                <w:sz w:val="22"/>
                <w:szCs w:val="22"/>
              </w:rPr>
              <w:t xml:space="preserve">   «</w:t>
            </w:r>
            <w:proofErr w:type="gramEnd"/>
            <w:r>
              <w:rPr>
                <w:sz w:val="22"/>
                <w:szCs w:val="22"/>
              </w:rPr>
              <w:t>О мониторинге качества финансового менеджмента»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Целевой показатель «Средняя балльная оценка (суммарная по всем разделам) ГРБС» за 2022 год составил 97,2 балла при плане 97 баллов.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ind w:left="-142" w:firstLine="142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</w:rPr>
        <w:t>--------------------------------</w:t>
      </w:r>
    </w:p>
    <w:p>
      <w:pPr>
        <w:spacing w:after="0" w:line="240" w:lineRule="auto"/>
        <w:ind w:right="28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*В связи с заполнением отчетных форм об исполнении муниципальной программы за 2023 год оценка результатов реализации мер правового регулирования проведена соответственно за 2023 год.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** Оплата по процентам за пользование кредитными ресурсами коммерческого банка за декабрь 2023 года произведена в январе 2024 года.</w:t>
      </w: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sectPr>
      <w:headerReference w:type="default" r:id="rId8"/>
      <w:footerReference w:type="default" r:id="rId9"/>
      <w:footerReference w:type="first" r:id="rId10"/>
      <w:pgSz w:w="16838" w:h="11906" w:orient="landscape"/>
      <w:pgMar w:top="851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  <w:lang w:eastAsia="ru-RU"/>
      </w:rPr>
    </w:pPr>
    <w:r>
      <w:rPr>
        <w:rFonts w:ascii="Times New Roman CYR" w:eastAsia="Times New Roman" w:hAnsi="Times New Roman CYR" w:cs="Times New Roman"/>
        <w:sz w:val="20"/>
        <w:szCs w:val="20"/>
        <w:lang w:eastAsia="ru-RU"/>
      </w:rPr>
      <w:t>Внутренний номер: 314304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  <w:lang w:eastAsia="ru-RU"/>
      </w:rPr>
    </w:pPr>
    <w:r>
      <w:rPr>
        <w:rFonts w:ascii="Times New Roman CYR" w:eastAsia="Times New Roman" w:hAnsi="Times New Roman CYR" w:cs="Times New Roman"/>
        <w:sz w:val="20"/>
        <w:szCs w:val="20"/>
        <w:lang w:eastAsia="ru-RU"/>
      </w:rPr>
      <w:t>Внутренний номер: 314304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0764060"/>
      <w:docPartObj>
        <w:docPartGallery w:val="Page Numbers (Top of Page)"/>
        <w:docPartUnique/>
      </w:docPartObj>
    </w:sdtPr>
    <w:sdtContent>
      <w:p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B9D477-8E2D-4007-8E00-B29A55E0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31DDD6E3DF0C84BC978CF0D03AC0B560B015337CB136730A98DA4B818ACC9BG2X2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241A9-D22A-4370-90B1-A9CFB86F6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Серегина М.А.</cp:lastModifiedBy>
  <cp:revision>127</cp:revision>
  <cp:lastPrinted>2024-02-14T10:20:00Z</cp:lastPrinted>
  <dcterms:created xsi:type="dcterms:W3CDTF">2016-03-30T11:23:00Z</dcterms:created>
  <dcterms:modified xsi:type="dcterms:W3CDTF">2024-02-15T01:45:00Z</dcterms:modified>
</cp:coreProperties>
</file>